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9" w:rsidRDefault="001B5286">
      <w:pPr>
        <w:pStyle w:val="39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013999" w:rsidRDefault="001B5286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13999" w:rsidRDefault="001B5286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13999" w:rsidRDefault="001B5286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02 апреля 2025 год.</w:t>
      </w:r>
    </w:p>
    <w:p w:rsidR="00013999" w:rsidRDefault="001B5286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13999" w:rsidRDefault="001B5286">
      <w:pPr>
        <w:pStyle w:val="21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31 марта 2025 года 91,7%.</w:t>
      </w:r>
    </w:p>
    <w:p w:rsidR="00013999" w:rsidRDefault="001B5286">
      <w:pPr>
        <w:pStyle w:val="21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</w:t>
      </w:r>
      <w:r>
        <w:rPr>
          <w:rFonts w:ascii="Times New Roman" w:hAnsi="Times New Roman"/>
          <w:sz w:val="28"/>
        </w:rPr>
        <w:t>я.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0,-5 °С, при прояснениях до -10 °С, днем +</w:t>
      </w:r>
      <w:proofErr w:type="gramStart"/>
      <w:r>
        <w:rPr>
          <w:rFonts w:ascii="Times New Roman" w:hAnsi="Times New Roman"/>
          <w:sz w:val="28"/>
        </w:rPr>
        <w:t>2,+</w:t>
      </w:r>
      <w:proofErr w:type="gramEnd"/>
      <w:r>
        <w:rPr>
          <w:rFonts w:ascii="Times New Roman" w:hAnsi="Times New Roman"/>
          <w:sz w:val="28"/>
        </w:rPr>
        <w:t>7 °С, в юго-западных районах до +12 °С, что на 7 °С выше нормы.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западной четверти 4 – 9 м/с.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</w:t>
      </w:r>
      <w:r>
        <w:rPr>
          <w:rFonts w:ascii="Times New Roman" w:hAnsi="Times New Roman"/>
          <w:sz w:val="28"/>
        </w:rPr>
        <w:t>ков.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западной половине округа, днем в большинстве районов небольшие и умеренные осадки в виде мокрого снега и дождя.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13999" w:rsidRDefault="001B52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:rsidR="00013999" w:rsidRDefault="001B5286">
      <w:pPr>
        <w:pStyle w:val="21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Обь (г. </w:t>
      </w:r>
      <w:r>
        <w:rPr>
          <w:b w:val="0"/>
          <w:color w:val="000000"/>
          <w:spacing w:val="0"/>
        </w:rPr>
        <w:t>Нижневартовск – вода на льду, г. Сургут – ледостав с полыньями);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Ляпин (с. Саранпауль – лед потемнел);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(г. Белоярский – лед потемнел);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Вах (с. </w:t>
      </w:r>
      <w:proofErr w:type="spellStart"/>
      <w:r>
        <w:rPr>
          <w:b w:val="0"/>
          <w:color w:val="000000"/>
          <w:spacing w:val="0"/>
        </w:rPr>
        <w:t>Большетархово</w:t>
      </w:r>
      <w:proofErr w:type="spellEnd"/>
      <w:r>
        <w:rPr>
          <w:b w:val="0"/>
          <w:color w:val="000000"/>
          <w:spacing w:val="0"/>
        </w:rPr>
        <w:t xml:space="preserve"> – наледь).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</w:t>
      </w:r>
      <w:r>
        <w:rPr>
          <w:b w:val="0"/>
          <w:color w:val="000000"/>
          <w:spacing w:val="0"/>
        </w:rPr>
        <w:t>а реках автономного округа: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Обь:</w:t>
      </w:r>
      <w:r>
        <w:rPr>
          <w:b w:val="0"/>
          <w:color w:val="000000"/>
          <w:spacing w:val="0"/>
        </w:rPr>
        <w:t xml:space="preserve"> (изменение уровня за сутки от -1 до +4).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Иртыш:</w:t>
      </w:r>
      <w:r>
        <w:rPr>
          <w:b w:val="0"/>
          <w:color w:val="000000"/>
          <w:spacing w:val="0"/>
        </w:rPr>
        <w:t xml:space="preserve"> (изменение уровня за сутки от -1 до +4).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Конда:</w:t>
      </w:r>
      <w:r>
        <w:rPr>
          <w:b w:val="0"/>
          <w:color w:val="000000"/>
          <w:spacing w:val="0"/>
        </w:rPr>
        <w:t xml:space="preserve"> (изменение уровня за сутки от +1 до +3).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Северная Сосьва:</w:t>
      </w:r>
      <w:r>
        <w:rPr>
          <w:b w:val="0"/>
          <w:color w:val="000000"/>
          <w:spacing w:val="0"/>
        </w:rPr>
        <w:t xml:space="preserve"> (изменение уровня за сутки от 0 до +4).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Большой Юган:</w:t>
      </w:r>
      <w:r>
        <w:rPr>
          <w:b w:val="0"/>
          <w:color w:val="000000"/>
          <w:spacing w:val="0"/>
        </w:rPr>
        <w:t xml:space="preserve"> (изменение уровня за сутки от +2 до +5).</w:t>
      </w:r>
    </w:p>
    <w:p w:rsidR="00013999" w:rsidRDefault="001B5286">
      <w:pPr>
        <w:pStyle w:val="21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Вах:</w:t>
      </w:r>
      <w:r>
        <w:rPr>
          <w:b w:val="0"/>
          <w:color w:val="000000"/>
          <w:spacing w:val="0"/>
        </w:rPr>
        <w:t xml:space="preserve"> (изменение уровня за сутки от +1 до +2).</w:t>
      </w:r>
    </w:p>
    <w:p w:rsidR="00013999" w:rsidRDefault="001B5286">
      <w:pPr>
        <w:pStyle w:val="21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color w:val="000000"/>
          <w:spacing w:val="0"/>
          <w:u w:val="single"/>
        </w:rPr>
        <w:t>р. Ляпин:</w:t>
      </w:r>
      <w:r>
        <w:rPr>
          <w:b w:val="0"/>
          <w:color w:val="000000"/>
          <w:spacing w:val="0"/>
        </w:rPr>
        <w:t xml:space="preserve"> (изменение уровня за сутки +2).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lastRenderedPageBreak/>
        <w:t>3. Толщина льда на водоемах, отклонения от нормы.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44"/>
        <w:gridCol w:w="1727"/>
        <w:gridCol w:w="1525"/>
        <w:gridCol w:w="1513"/>
        <w:gridCol w:w="2037"/>
      </w:tblGrid>
      <w:tr w:rsidR="00013999">
        <w:trPr>
          <w:trHeight w:val="12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013999">
        <w:trPr>
          <w:trHeight w:val="24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013999">
        <w:trPr>
          <w:trHeight w:val="20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01399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013999">
        <w:trPr>
          <w:trHeight w:val="1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01399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013999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01399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 w:rsidR="00013999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01399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013999" w:rsidRDefault="001B528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013999" w:rsidRDefault="00013999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</w:t>
      </w:r>
      <w:r>
        <w:rPr>
          <w:color w:val="000000"/>
          <w:sz w:val="24"/>
        </w:rPr>
        <w:t xml:space="preserve">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013999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013999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99" w:rsidRDefault="001B5286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013999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999" w:rsidRDefault="001B528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</w:t>
            </w:r>
            <w:r>
              <w:rPr>
                <w:rFonts w:ascii="Times New Roman" w:hAnsi="Times New Roman"/>
                <w:sz w:val="20"/>
              </w:rPr>
              <w:t xml:space="preserve">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99" w:rsidRDefault="001B528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:rsidR="00013999" w:rsidRDefault="001B5286">
      <w:pPr>
        <w:pStyle w:val="21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затопленных территориях.</w:t>
      </w:r>
    </w:p>
    <w:p w:rsidR="00013999" w:rsidRDefault="001B52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013999" w:rsidRDefault="001B5286">
      <w:pPr>
        <w:pStyle w:val="21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color w:val="000000" w:themeColor="text1"/>
          <w:sz w:val="28"/>
        </w:rPr>
        <w:t xml:space="preserve">По состоянию на 01.04.2025 эксплуатируется </w:t>
      </w:r>
      <w:r>
        <w:rPr>
          <w:rStyle w:val="af9"/>
          <w:rFonts w:ascii="Times New Roman" w:hAnsi="Times New Roman"/>
          <w:b/>
          <w:sz w:val="28"/>
        </w:rPr>
        <w:t>3 автозимника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протяженностью</w:t>
      </w:r>
      <w:r>
        <w:rPr>
          <w:rStyle w:val="af9"/>
          <w:rFonts w:ascii="Times New Roman" w:hAnsi="Times New Roman"/>
          <w:b/>
          <w:sz w:val="28"/>
        </w:rPr>
        <w:t xml:space="preserve"> 93,620 км: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в Нижневартовском районе (3) и </w:t>
      </w:r>
      <w:r>
        <w:rPr>
          <w:rStyle w:val="af9"/>
          <w:rFonts w:ascii="Times New Roman" w:hAnsi="Times New Roman"/>
          <w:b/>
          <w:color w:val="000000" w:themeColor="text1"/>
          <w:sz w:val="28"/>
        </w:rPr>
        <w:t>14 ледовых переправ: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в Ханты-Мансийском районе (1), в Нижневартовском районе (3), в Сургутском районе (3) и в Белоярском районе (7).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color w:val="000000" w:themeColor="text1"/>
          <w:sz w:val="28"/>
        </w:rPr>
        <w:t xml:space="preserve">По состоянию на 01.04.2025 </w:t>
      </w:r>
      <w:r>
        <w:rPr>
          <w:rStyle w:val="af9"/>
          <w:rFonts w:ascii="Times New Roman" w:hAnsi="Times New Roman"/>
          <w:b/>
          <w:color w:val="000000" w:themeColor="text1"/>
          <w:sz w:val="28"/>
        </w:rPr>
        <w:t>закрыты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</w:t>
      </w:r>
      <w:r>
        <w:rPr>
          <w:rStyle w:val="af9"/>
          <w:rFonts w:ascii="Times New Roman" w:hAnsi="Times New Roman"/>
          <w:b/>
          <w:sz w:val="28"/>
        </w:rPr>
        <w:t>50 автозимников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протяженностью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</w:t>
      </w:r>
      <w:r>
        <w:rPr>
          <w:rStyle w:val="af9"/>
          <w:rFonts w:ascii="Times New Roman" w:hAnsi="Times New Roman"/>
          <w:b/>
          <w:color w:val="000000" w:themeColor="text1"/>
          <w:sz w:val="28"/>
        </w:rPr>
        <w:t>2375,132 км: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Нижневартовский район (2), Березовский район (13), Кондинский район (6), Ханты-Мансийский район (14), Белоярский район (1), Сургутский район (4) и Октябрьский район (10) и 69 ледовых переправ: Нижневартовский район (7), Березовский район (21)</w:t>
      </w:r>
      <w:r>
        <w:rPr>
          <w:rStyle w:val="af9"/>
          <w:rFonts w:ascii="Times New Roman" w:hAnsi="Times New Roman"/>
          <w:color w:val="000000" w:themeColor="text1"/>
          <w:sz w:val="28"/>
        </w:rPr>
        <w:t>, Кондинский район (8), Ханты-Мансийский район (14), Сургутский район (2), Нефтеюганский район (2), Белоярский район (1) и Октябрьский район (14).</w:t>
      </w:r>
    </w:p>
    <w:p w:rsidR="00013999" w:rsidRDefault="00013999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 xml:space="preserve">За сутки закрыты 25 автозимников 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протяженностью </w:t>
      </w:r>
      <w:r>
        <w:rPr>
          <w:rStyle w:val="af9"/>
          <w:rFonts w:ascii="Times New Roman" w:hAnsi="Times New Roman"/>
          <w:b/>
          <w:sz w:val="28"/>
        </w:rPr>
        <w:t>1198,137 км: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</w:t>
      </w:r>
    </w:p>
    <w:p w:rsidR="00013999" w:rsidRDefault="001B5286">
      <w:pPr>
        <w:spacing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10 в Березовском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(«Газовая трасса - с. 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Саранпауль» протяженностью 154,035 км, «д. Ломбовож - с. Саранпауль» протяженностью 40,730 км, «д. </w:t>
      </w:r>
      <w:r>
        <w:rPr>
          <w:rStyle w:val="af9"/>
          <w:rFonts w:ascii="Times New Roman" w:hAnsi="Times New Roman"/>
          <w:color w:val="000000" w:themeColor="text1"/>
          <w:sz w:val="28"/>
        </w:rPr>
        <w:lastRenderedPageBreak/>
        <w:t xml:space="preserve">Сартынья - п. Сосьва» протяженностью 74,970 км, «п. Сосьва - д.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Кимкьясуй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>» протяженностью 50,967 км, «п. Сосьва - д. Ломбовож» протяженностью 37,675 км, «пгт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. Игрим - д. Анеева» протяженностью 21,980 км, «пгт. Игрим - д. Сартынья» протяженностью 77,888 км, «д. Хулимсунт - с. Няксимволь - д.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Усть-Манья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» протяженностью 126,725 км, «пгт. Агириш - д. Хулимсунт» протяженностью 149,358 км, «пгт. Игрим - п. Светлый» </w:t>
      </w:r>
      <w:r>
        <w:rPr>
          <w:rStyle w:val="af9"/>
          <w:rFonts w:ascii="Times New Roman" w:hAnsi="Times New Roman"/>
          <w:color w:val="000000" w:themeColor="text1"/>
          <w:sz w:val="28"/>
        </w:rPr>
        <w:t>протяженностью 57,739 км).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4 в Сургутском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(«г. Сургут – п. Банный» протяженностью 4,000 км, «с. Сытомино – п. Горный» протяженностью 34,442 км, «с. Угут – д. Каюкова» протяженностью 7,744 км, «с. Угут – д. Малоюганский» протяженностью 20,975 км.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 xml:space="preserve">10 </w:t>
      </w:r>
      <w:r>
        <w:rPr>
          <w:rStyle w:val="af9"/>
          <w:rFonts w:ascii="Times New Roman" w:hAnsi="Times New Roman"/>
          <w:b/>
          <w:color w:val="000000" w:themeColor="text1"/>
          <w:sz w:val="28"/>
        </w:rPr>
        <w:t>в Октябрьском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(«д. Нарыкары - д.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Мулигорт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- с. Перегребное» протяженностью 34,098 км, «69 карьер - с. Пальяново» протяженностью 9,680 км, «Подъезд к с. Большой Атлым» протяженностью 39,349 км, «с. Большой Камень - п. Большие Леуши» протяженностью 69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,338 км, «п. Большие Леуши - п. Карымкары» протяженностью 7,640 км, «п. Октябрьское - с. Большой Камень» протяженностью 22,360 км, «п. Карымкары - п.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Горнореченск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- п. Урманный» протяженностью 54,129 км, «п. Урманный - с. Каменное» протяженностью 19,130 км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, «п. Сергино - пгт. Андра» протяженностью 16,852 км, «пгт. Приобье - с. Перегребное», в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т.ч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>. «Подъезд к с. Перегребное» протяженностью 63,448 км.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sz w:val="28"/>
        </w:rPr>
        <w:t>1 в Нижневартовском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(«д. Соснина - гр. Томской </w:t>
      </w:r>
      <w:proofErr w:type="gramStart"/>
      <w:r>
        <w:rPr>
          <w:rStyle w:val="af9"/>
          <w:rFonts w:ascii="Times New Roman" w:hAnsi="Times New Roman"/>
          <w:color w:val="000000" w:themeColor="text1"/>
          <w:sz w:val="28"/>
        </w:rPr>
        <w:t>области»  протяженностью</w:t>
      </w:r>
      <w:proofErr w:type="gram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2,885 км).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За сутки закрыты 29</w:t>
      </w:r>
      <w:r>
        <w:rPr>
          <w:rStyle w:val="af9"/>
          <w:rFonts w:ascii="Times New Roman" w:hAnsi="Times New Roman"/>
          <w:b/>
          <w:color w:val="000000" w:themeColor="text1"/>
          <w:sz w:val="28"/>
        </w:rPr>
        <w:t xml:space="preserve"> ледовых переправ: </w:t>
      </w:r>
    </w:p>
    <w:p w:rsidR="00013999" w:rsidRDefault="001B5286">
      <w:pPr>
        <w:spacing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13 в Березовском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(через р. Талья,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Валья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Кемпаж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, р. Ляпин, р. Северная Сосьва 332 км, р. Северная Сосьва 153 км, р. Северная Сосьва 98 км, р. Северная Сосьва 13 км, р. Северная Сосьва 81 км, р. Висим, р. Малая Сосьва,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Ят</w:t>
      </w:r>
      <w:r>
        <w:rPr>
          <w:rStyle w:val="af9"/>
          <w:rFonts w:ascii="Times New Roman" w:hAnsi="Times New Roman"/>
          <w:color w:val="000000" w:themeColor="text1"/>
          <w:sz w:val="28"/>
        </w:rPr>
        <w:t>рия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Щекурья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>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1 в Сургутском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(через р. Тром-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Еган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>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14 в Октябрьском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(через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Мулигорт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12 км,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Ендырь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26 км, р. Малый Атлым 5 км, р. Большой Атлым 5 км,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Кормужиханка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,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Ендырская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170 км,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Алёшкинская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36,3 км, р. Обь 900 км, р. 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Обь 835 км,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Ун-Хобыстпосл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35 км, 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Ехалпосл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, две через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Пугорас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>, р. Обь).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b/>
          <w:color w:val="000000" w:themeColor="text1"/>
          <w:sz w:val="28"/>
        </w:rPr>
        <w:t>1 в Нефтеюганском районе</w:t>
      </w:r>
      <w:r>
        <w:rPr>
          <w:rStyle w:val="af9"/>
          <w:rFonts w:ascii="Times New Roman" w:hAnsi="Times New Roman"/>
          <w:color w:val="000000" w:themeColor="text1"/>
          <w:sz w:val="28"/>
        </w:rPr>
        <w:t xml:space="preserve"> (через пр. </w:t>
      </w:r>
      <w:proofErr w:type="spellStart"/>
      <w:r>
        <w:rPr>
          <w:rStyle w:val="af9"/>
          <w:rFonts w:ascii="Times New Roman" w:hAnsi="Times New Roman"/>
          <w:color w:val="000000" w:themeColor="text1"/>
          <w:sz w:val="28"/>
        </w:rPr>
        <w:t>Невринг</w:t>
      </w:r>
      <w:proofErr w:type="spellEnd"/>
      <w:r>
        <w:rPr>
          <w:rStyle w:val="af9"/>
          <w:rFonts w:ascii="Times New Roman" w:hAnsi="Times New Roman"/>
          <w:color w:val="000000" w:themeColor="text1"/>
          <w:sz w:val="28"/>
        </w:rPr>
        <w:t xml:space="preserve"> 9 км).</w:t>
      </w:r>
    </w:p>
    <w:p w:rsidR="00013999" w:rsidRDefault="00013999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Style w:val="af9"/>
          <w:rFonts w:ascii="Times New Roman" w:hAnsi="Times New Roman"/>
          <w:b/>
          <w:sz w:val="28"/>
        </w:rPr>
        <w:t>За сутки закрыты 3 места массового выхода людей на лёд:</w:t>
      </w:r>
    </w:p>
    <w:p w:rsidR="00013999" w:rsidRDefault="001B5286">
      <w:pPr>
        <w:tabs>
          <w:tab w:val="left" w:pos="6672"/>
        </w:tabs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color w:val="000000" w:themeColor="text1"/>
          <w:sz w:val="28"/>
        </w:rPr>
        <w:t xml:space="preserve">1. г. Сургут (р. Обь, район устья Черной речки, 0,5 км восточнее </w:t>
      </w:r>
      <w:r>
        <w:rPr>
          <w:rStyle w:val="af9"/>
          <w:rFonts w:ascii="Times New Roman" w:hAnsi="Times New Roman"/>
          <w:color w:val="000000" w:themeColor="text1"/>
          <w:sz w:val="28"/>
        </w:rPr>
        <w:t>города);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color w:val="000000" w:themeColor="text1"/>
          <w:sz w:val="28"/>
        </w:rPr>
        <w:t>2. г. Нижневартовск (р. Обь, 1 км южнее города);</w:t>
      </w:r>
    </w:p>
    <w:p w:rsidR="00013999" w:rsidRDefault="001B5286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9"/>
          <w:rFonts w:ascii="Times New Roman" w:hAnsi="Times New Roman"/>
          <w:color w:val="000000" w:themeColor="text1"/>
          <w:sz w:val="28"/>
        </w:rPr>
        <w:t>3. г. Нефтеюганск (пр. Юганская Обь, 6 км южнее города).</w:t>
      </w:r>
    </w:p>
    <w:p w:rsidR="00013999" w:rsidRDefault="001B5286">
      <w:pPr>
        <w:pStyle w:val="21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IV. Параметры прогноза возможных ЧС на территории Ханты-Мансийского автономного округа - Югры на предстоящие сутки: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Прогноз солнечной акти</w:t>
      </w:r>
      <w:r>
        <w:rPr>
          <w:rFonts w:ascii="Times New Roman" w:hAnsi="Times New Roman"/>
          <w:color w:val="000000" w:themeColor="text1"/>
          <w:sz w:val="28"/>
        </w:rPr>
        <w:t xml:space="preserve">вности и геомагнитной обстановки. 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</w:t>
      </w:r>
      <w:r>
        <w:rPr>
          <w:rFonts w:ascii="Times New Roman" w:hAnsi="Times New Roman"/>
          <w:color w:val="000000" w:themeColor="text1"/>
          <w:sz w:val="28"/>
        </w:rPr>
        <w:t xml:space="preserve">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 Прогноз рисков в</w:t>
      </w:r>
      <w:r>
        <w:rPr>
          <w:rFonts w:ascii="Times New Roman" w:hAnsi="Times New Roman"/>
          <w:color w:val="000000" w:themeColor="text1"/>
          <w:sz w:val="28"/>
        </w:rPr>
        <w:t>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возникновения ЧС и происшествий, о</w:t>
      </w:r>
      <w:r>
        <w:rPr>
          <w:rFonts w:ascii="Times New Roman" w:hAnsi="Times New Roman"/>
          <w:color w:val="000000" w:themeColor="text1"/>
          <w:sz w:val="28"/>
        </w:rPr>
        <w:t>бусловленных авариями на электроэнергетических системах, ЛЭП.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авария</w:t>
      </w:r>
      <w:r>
        <w:rPr>
          <w:rFonts w:ascii="Times New Roman" w:hAnsi="Times New Roman"/>
          <w:sz w:val="28"/>
        </w:rPr>
        <w:t>ми на коммунальных системах жизнеобеспечения.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вероятность – высокая.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13999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39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3999" w:rsidRDefault="0001399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139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3999" w:rsidRDefault="000139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13999" w:rsidRDefault="001B528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обрушением конструкций зданий и сооружений.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13999" w:rsidRDefault="001B528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013999" w:rsidRDefault="001B528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увеличением </w:t>
      </w:r>
      <w:r>
        <w:rPr>
          <w:rFonts w:ascii="Times New Roman" w:hAnsi="Times New Roman"/>
          <w:sz w:val="28"/>
        </w:rPr>
        <w:t xml:space="preserve">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</w:t>
      </w:r>
      <w:r>
        <w:rPr>
          <w:rFonts w:ascii="Times New Roman" w:hAnsi="Times New Roman"/>
          <w:sz w:val="28"/>
        </w:rPr>
        <w:lastRenderedPageBreak/>
        <w:t>специализирующимися на оказании услуг по уборке снега и льда с крыш зданий и очистке при</w:t>
      </w:r>
      <w:r>
        <w:rPr>
          <w:rFonts w:ascii="Times New Roman" w:hAnsi="Times New Roman"/>
          <w:sz w:val="28"/>
        </w:rPr>
        <w:t>домовой территории, в целях снижения риска травмирования и гибели людей, а также повреждения припаркованных транспортных средств за сутки очищено 7 крыш, вывезено с придомовых территорий  3 879 м3 снега, всего с начала сезона очищено 19 194 крыш и вывезено</w:t>
      </w:r>
      <w:r>
        <w:rPr>
          <w:rFonts w:ascii="Times New Roman" w:hAnsi="Times New Roman"/>
          <w:sz w:val="28"/>
        </w:rPr>
        <w:t xml:space="preserve"> 1 297 348 м3 снега.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Табли</w:t>
      </w:r>
      <w:r>
        <w:rPr>
          <w:rFonts w:ascii="Times New Roman" w:hAnsi="Times New Roman"/>
          <w:i/>
          <w:color w:val="000000" w:themeColor="text1"/>
          <w:sz w:val="28"/>
        </w:rPr>
        <w:t xml:space="preserve">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13999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99" w:rsidRDefault="001B528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399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3999" w:rsidRDefault="001B528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013999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3999" w:rsidRDefault="00013999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3999" w:rsidRDefault="001B528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99" w:rsidRDefault="001B528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наступлением устойчивых положительных температур окружающего воздуха, образования </w:t>
      </w:r>
      <w:r>
        <w:rPr>
          <w:rFonts w:ascii="Times New Roman" w:hAnsi="Times New Roman"/>
          <w:sz w:val="28"/>
        </w:rPr>
        <w:t>колейности, выбоин, застоев воды на зимних автомобильных дорогах, затрудняющих движение транспортных средств, невозможностью обеспечения безопасности дорожного движения и с целью недопущения возникновения чрезвычайных ситуации ожидается закрытие движения д</w:t>
      </w:r>
      <w:r>
        <w:rPr>
          <w:rFonts w:ascii="Times New Roman" w:hAnsi="Times New Roman"/>
          <w:sz w:val="28"/>
        </w:rPr>
        <w:t>ля всех видов транспортных средств по зимним автомобильным дорогам и ледовым переправам на территории автономного округа.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10. Прогноз рисков увеличения количества ДТП в утренние и вечерние часы в связи с туманами на автодорогах федерального, регионального </w:t>
      </w:r>
      <w:r>
        <w:rPr>
          <w:rFonts w:ascii="Times New Roman" w:hAnsi="Times New Roman"/>
          <w:color w:val="000000" w:themeColor="text1"/>
          <w:sz w:val="28"/>
        </w:rPr>
        <w:t>и местного значения, расположенных в пониженных участках местности, около водных объектов.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013999" w:rsidRDefault="001B5286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</w:t>
      </w:r>
      <w:r>
        <w:rPr>
          <w:rFonts w:ascii="Times New Roman" w:hAnsi="Times New Roman"/>
          <w:color w:val="000000" w:themeColor="text1"/>
          <w:sz w:val="28"/>
        </w:rPr>
        <w:t>ных с авариями на железнодорожном транспорте.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Прогноз рисков возникновения ЧС и происшествий, связанных с авариями на авиационном транспорте.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</w:t>
      </w:r>
      <w:r>
        <w:rPr>
          <w:rFonts w:ascii="Times New Roman" w:hAnsi="Times New Roman"/>
          <w:color w:val="000000" w:themeColor="text1"/>
          <w:sz w:val="28"/>
        </w:rPr>
        <w:t>адках округа существует риск задержки авиарейсов. Вероятность – повышенная.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возникновения ЧС и происшествий, связанных с авариями на объектах нефтегазодобычи и переработки.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3999" w:rsidRDefault="001B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013999" w:rsidRDefault="001B5286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V. Рекомендации по реагированию на прогноз.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</w:t>
      </w:r>
      <w:r>
        <w:rPr>
          <w:rFonts w:ascii="Times New Roman" w:hAnsi="Times New Roman"/>
          <w:color w:val="000000" w:themeColor="text1"/>
          <w:sz w:val="28"/>
        </w:rPr>
        <w:t>ных ситуаций рекомендуется проведение следующих превентивных мероприятий: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</w:t>
      </w:r>
      <w:r>
        <w:rPr>
          <w:rFonts w:ascii="Times New Roman" w:hAnsi="Times New Roman"/>
          <w:color w:val="000000" w:themeColor="text1"/>
          <w:sz w:val="28"/>
        </w:rPr>
        <w:t>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</w:t>
      </w:r>
      <w:r>
        <w:rPr>
          <w:rFonts w:ascii="Times New Roman" w:hAnsi="Times New Roman"/>
          <w:color w:val="000000" w:themeColor="text1"/>
          <w:sz w:val="28"/>
        </w:rPr>
        <w:t>ванных организаций и предприятий в пределах своей компетенции: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</w:t>
      </w:r>
      <w:r>
        <w:rPr>
          <w:rFonts w:ascii="Times New Roman" w:hAnsi="Times New Roman"/>
          <w:color w:val="000000" w:themeColor="text1"/>
          <w:sz w:val="28"/>
        </w:rPr>
        <w:t xml:space="preserve">ии ЧС» и «Методическими рекомендациями МЧС РФ по организации реагирования на прогнозы ЧС»; 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</w:t>
      </w:r>
      <w:r>
        <w:rPr>
          <w:rFonts w:ascii="Times New Roman" w:hAnsi="Times New Roman"/>
          <w:color w:val="000000" w:themeColor="text1"/>
          <w:sz w:val="28"/>
        </w:rPr>
        <w:t xml:space="preserve"> в зоне влияния негативных природных факторов.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</w:t>
      </w:r>
      <w:r>
        <w:rPr>
          <w:rFonts w:ascii="Times New Roman" w:hAnsi="Times New Roman"/>
          <w:color w:val="000000" w:themeColor="text1"/>
          <w:sz w:val="28"/>
        </w:rPr>
        <w:t>, привлекаемых к ликвидации возможных ЧС.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</w:t>
      </w:r>
      <w:r>
        <w:rPr>
          <w:rFonts w:ascii="Times New Roman" w:hAnsi="Times New Roman"/>
          <w:color w:val="000000" w:themeColor="text1"/>
          <w:sz w:val="28"/>
        </w:rPr>
        <w:t>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готовности </w:t>
      </w:r>
      <w:r>
        <w:rPr>
          <w:rFonts w:ascii="Times New Roman" w:hAnsi="Times New Roman"/>
          <w:color w:val="000000" w:themeColor="text1"/>
          <w:sz w:val="28"/>
        </w:rPr>
        <w:t>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</w:t>
      </w:r>
      <w:r>
        <w:rPr>
          <w:rFonts w:ascii="Times New Roman" w:hAnsi="Times New Roman"/>
          <w:color w:val="000000" w:themeColor="text1"/>
          <w:sz w:val="28"/>
        </w:rPr>
        <w:t>номных источников электропитания.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</w:t>
      </w:r>
      <w:r>
        <w:rPr>
          <w:rFonts w:ascii="Times New Roman" w:hAnsi="Times New Roman"/>
          <w:color w:val="000000" w:themeColor="text1"/>
          <w:sz w:val="28"/>
        </w:rPr>
        <w:t>ем жизнеобеспечения населения.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внимание на детей, людей старших возрастов и </w:t>
      </w:r>
      <w:r>
        <w:rPr>
          <w:rFonts w:ascii="Times New Roman" w:hAnsi="Times New Roman"/>
          <w:color w:val="000000" w:themeColor="text1"/>
          <w:sz w:val="28"/>
        </w:rPr>
        <w:lastRenderedPageBreak/>
        <w:t>граждан маломобильной группы (инвалиды, люди с временным нарушением здоровья, беременные женщины и т.п.).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</w:t>
      </w:r>
      <w:r>
        <w:rPr>
          <w:rFonts w:ascii="Times New Roman" w:hAnsi="Times New Roman"/>
          <w:color w:val="000000" w:themeColor="text1"/>
          <w:sz w:val="28"/>
        </w:rPr>
        <w:t>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</w:t>
      </w:r>
      <w:r>
        <w:rPr>
          <w:rFonts w:ascii="Times New Roman" w:hAnsi="Times New Roman"/>
          <w:color w:val="000000" w:themeColor="text1"/>
          <w:sz w:val="28"/>
        </w:rPr>
        <w:t>ние лекций и бесед с населением на противопожарную тематику в ходе рейдов.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</w:t>
      </w:r>
      <w:r>
        <w:rPr>
          <w:rFonts w:ascii="Times New Roman" w:hAnsi="Times New Roman"/>
          <w:color w:val="000000" w:themeColor="text1"/>
          <w:sz w:val="28"/>
        </w:rPr>
        <w:t>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</w:t>
      </w:r>
      <w:r>
        <w:rPr>
          <w:rFonts w:ascii="Times New Roman" w:hAnsi="Times New Roman"/>
          <w:color w:val="000000" w:themeColor="text1"/>
          <w:sz w:val="28"/>
        </w:rPr>
        <w:t xml:space="preserve">туацию. 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</w:t>
      </w:r>
      <w:r>
        <w:rPr>
          <w:rFonts w:ascii="Times New Roman" w:hAnsi="Times New Roman"/>
          <w:color w:val="000000" w:themeColor="text1"/>
          <w:sz w:val="28"/>
        </w:rPr>
        <w:t>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</w:t>
      </w:r>
      <w:r>
        <w:rPr>
          <w:rFonts w:ascii="Times New Roman" w:hAnsi="Times New Roman"/>
          <w:color w:val="000000" w:themeColor="text1"/>
          <w:sz w:val="28"/>
        </w:rPr>
        <w:t>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</w:t>
      </w:r>
      <w:r>
        <w:rPr>
          <w:rFonts w:ascii="Times New Roman" w:hAnsi="Times New Roman"/>
          <w:color w:val="000000" w:themeColor="text1"/>
          <w:sz w:val="28"/>
        </w:rPr>
        <w:t>ерки противопожарного состояния частного жилого сектора.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</w:t>
      </w:r>
      <w:r>
        <w:rPr>
          <w:rFonts w:ascii="Times New Roman" w:hAnsi="Times New Roman"/>
          <w:color w:val="000000" w:themeColor="text1"/>
          <w:sz w:val="28"/>
        </w:rPr>
        <w:t>в бытового газа.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</w:t>
      </w:r>
      <w:r>
        <w:rPr>
          <w:rFonts w:ascii="Times New Roman" w:hAnsi="Times New Roman"/>
          <w:color w:val="000000" w:themeColor="text1"/>
          <w:sz w:val="28"/>
        </w:rPr>
        <w:t>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</w:t>
      </w:r>
      <w:r>
        <w:rPr>
          <w:rFonts w:ascii="Times New Roman" w:hAnsi="Times New Roman"/>
          <w:color w:val="000000" w:themeColor="text1"/>
          <w:sz w:val="28"/>
        </w:rPr>
        <w:t xml:space="preserve"> нормального функционирования систем транспортного сообщения в </w:t>
      </w:r>
      <w:r>
        <w:rPr>
          <w:rFonts w:ascii="Times New Roman" w:hAnsi="Times New Roman"/>
          <w:color w:val="000000" w:themeColor="text1"/>
          <w:sz w:val="28"/>
        </w:rPr>
        <w:lastRenderedPageBreak/>
        <w:t>условиях действия неблагоприятных (опасных) метеорологических явлений (выпадение сильных осадков, туман).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</w:t>
      </w:r>
      <w:r>
        <w:rPr>
          <w:rFonts w:ascii="Times New Roman" w:hAnsi="Times New Roman"/>
          <w:color w:val="000000" w:themeColor="text1"/>
          <w:sz w:val="28"/>
        </w:rPr>
        <w:t>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</w:t>
      </w:r>
      <w:r>
        <w:rPr>
          <w:rFonts w:ascii="Times New Roman" w:hAnsi="Times New Roman"/>
          <w:color w:val="000000" w:themeColor="text1"/>
          <w:sz w:val="28"/>
        </w:rPr>
        <w:t>окового интервала при управлении автомобилем, не допущения резких ускорений, торможений и перестроений.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</w:t>
      </w:r>
      <w:r>
        <w:rPr>
          <w:rFonts w:ascii="Times New Roman" w:hAnsi="Times New Roman"/>
          <w:color w:val="000000" w:themeColor="text1"/>
          <w:sz w:val="28"/>
        </w:rPr>
        <w:t xml:space="preserve">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</w:t>
      </w:r>
      <w:r>
        <w:rPr>
          <w:rFonts w:ascii="Times New Roman" w:hAnsi="Times New Roman"/>
          <w:color w:val="000000" w:themeColor="text1"/>
          <w:sz w:val="28"/>
        </w:rPr>
        <w:t>орологической и дорожной обстановке до населения.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</w:t>
      </w:r>
      <w:r>
        <w:rPr>
          <w:rFonts w:ascii="Times New Roman" w:hAnsi="Times New Roman"/>
          <w:color w:val="000000" w:themeColor="text1"/>
          <w:sz w:val="28"/>
        </w:rPr>
        <w:t xml:space="preserve"> обстановке, а также маршрутов объездных автодорог;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</w:t>
      </w:r>
      <w:r>
        <w:rPr>
          <w:rFonts w:ascii="Times New Roman" w:hAnsi="Times New Roman"/>
          <w:color w:val="000000" w:themeColor="text1"/>
          <w:sz w:val="28"/>
        </w:rPr>
        <w:t>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</w:t>
      </w:r>
      <w:r>
        <w:rPr>
          <w:rFonts w:ascii="Times New Roman" w:hAnsi="Times New Roman"/>
          <w:color w:val="000000" w:themeColor="text1"/>
          <w:sz w:val="28"/>
        </w:rPr>
        <w:t>ед и оказанию первой медицинской помощи пострадавшим.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13999" w:rsidRDefault="0001399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B5286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p w:rsidR="001B5286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2DFD3F3" wp14:editId="6FD2F035">
            <wp:simplePos x="0" y="0"/>
            <wp:positionH relativeFrom="column">
              <wp:posOffset>3114040</wp:posOffset>
            </wp:positionH>
            <wp:positionV relativeFrom="page">
              <wp:posOffset>9596120</wp:posOffset>
            </wp:positionV>
            <wp:extent cx="790575" cy="81914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90575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013999" w:rsidRDefault="001B52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</w:t>
      </w:r>
      <w:r>
        <w:rPr>
          <w:rFonts w:ascii="Times New Roman" w:hAnsi="Times New Roman"/>
          <w:sz w:val="28"/>
        </w:rPr>
        <w:t>Главного управления МЧС России по ХМАО-Югре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>
        <w:rPr>
          <w:sz w:val="28"/>
        </w:rPr>
        <w:t>п</w:t>
      </w:r>
      <w:r>
        <w:rPr>
          <w:rStyle w:val="1ff1"/>
          <w:rFonts w:ascii="Times New Roman" w:hAnsi="Times New Roman"/>
          <w:sz w:val="28"/>
        </w:rPr>
        <w:t xml:space="preserve">олковник внутренней службы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1ff1"/>
          <w:rFonts w:ascii="Times New Roman" w:hAnsi="Times New Roman"/>
          <w:sz w:val="28"/>
        </w:rPr>
        <w:t xml:space="preserve">М.Д. </w:t>
      </w:r>
      <w:proofErr w:type="spellStart"/>
      <w:r>
        <w:rPr>
          <w:rStyle w:val="1ff1"/>
          <w:rFonts w:ascii="Times New Roman" w:hAnsi="Times New Roman"/>
          <w:sz w:val="28"/>
        </w:rPr>
        <w:t>Джабаев</w:t>
      </w:r>
      <w:proofErr w:type="spellEnd"/>
      <w:r>
        <w:rPr>
          <w:rStyle w:val="1ff1"/>
          <w:rFonts w:ascii="Times New Roman" w:hAnsi="Times New Roman"/>
          <w:sz w:val="28"/>
        </w:rPr>
        <w:t xml:space="preserve"> </w:t>
      </w:r>
    </w:p>
    <w:p w:rsidR="00013999" w:rsidRDefault="0001399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013999" w:rsidRDefault="0001399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013999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Колпакова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Ж.В.</w:t>
      </w:r>
    </w:p>
    <w:p w:rsidR="00013999" w:rsidRDefault="001B52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0139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717"/>
    <w:multiLevelType w:val="multilevel"/>
    <w:tmpl w:val="71928F0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203B7F"/>
    <w:multiLevelType w:val="multilevel"/>
    <w:tmpl w:val="66F086D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6A963BC3"/>
    <w:multiLevelType w:val="multilevel"/>
    <w:tmpl w:val="C0FE8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13999"/>
    <w:rsid w:val="00013999"/>
    <w:rsid w:val="001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7325"/>
  <w15:docId w15:val="{9E0F1EAD-86C0-4BED-881A-D51633A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Для оглавления2"/>
    <w:basedOn w:val="a4"/>
    <w:link w:val="2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2">
    <w:name w:val="Для оглавления2"/>
    <w:basedOn w:val="a5"/>
    <w:link w:val="2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6">
    <w:name w:val="head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styleId="a8">
    <w:name w:val="table of figures"/>
    <w:basedOn w:val="a0"/>
    <w:next w:val="a0"/>
    <w:link w:val="a9"/>
    <w:pPr>
      <w:spacing w:after="0"/>
    </w:pPr>
  </w:style>
  <w:style w:type="character" w:customStyle="1" w:styleId="a9">
    <w:name w:val="Перечень рисунков Знак"/>
    <w:basedOn w:val="1"/>
    <w:link w:val="a8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HeaderChar">
    <w:name w:val="Header Char"/>
    <w:basedOn w:val="1a"/>
    <w:link w:val="HeaderChar0"/>
  </w:style>
  <w:style w:type="character" w:customStyle="1" w:styleId="HeaderChar0">
    <w:name w:val="Header Char"/>
    <w:basedOn w:val="1b"/>
    <w:link w:val="HeaderChar"/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Heading6Char">
    <w:name w:val="Heading 6 Char"/>
    <w:basedOn w:val="1a"/>
    <w:link w:val="Heading6Char0"/>
    <w:rPr>
      <w:rFonts w:ascii="Arial" w:hAnsi="Arial"/>
      <w:b/>
    </w:rPr>
  </w:style>
  <w:style w:type="character" w:customStyle="1" w:styleId="Heading6Char0">
    <w:name w:val="Heading 6 Char"/>
    <w:basedOn w:val="1b"/>
    <w:link w:val="Heading6Char"/>
    <w:rPr>
      <w:rFonts w:ascii="Arial" w:hAnsi="Arial"/>
      <w:b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a">
    <w:name w:val="Plain Text"/>
    <w:basedOn w:val="a0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customStyle="1" w:styleId="Heading8Char">
    <w:name w:val="Heading 8 Char"/>
    <w:basedOn w:val="1a"/>
    <w:link w:val="Heading8Char0"/>
    <w:rPr>
      <w:rFonts w:ascii="Arial" w:hAnsi="Arial"/>
      <w:i/>
    </w:rPr>
  </w:style>
  <w:style w:type="character" w:customStyle="1" w:styleId="Heading8Char0">
    <w:name w:val="Heading 8 Char"/>
    <w:basedOn w:val="1b"/>
    <w:link w:val="Heading8Char"/>
    <w:rPr>
      <w:rFonts w:ascii="Arial" w:hAnsi="Arial"/>
      <w:i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e">
    <w:name w:val="Знак сноски1"/>
    <w:basedOn w:val="33"/>
    <w:link w:val="1f"/>
    <w:rPr>
      <w:vertAlign w:val="superscript"/>
    </w:rPr>
  </w:style>
  <w:style w:type="character" w:customStyle="1" w:styleId="1f">
    <w:name w:val="Знак сноски1"/>
    <w:basedOn w:val="34"/>
    <w:link w:val="1e"/>
    <w:rPr>
      <w:vertAlign w:val="superscript"/>
    </w:rPr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styleId="ac">
    <w:name w:val="endnote text"/>
    <w:basedOn w:val="a0"/>
    <w:link w:val="a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sz w:val="20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0">
    <w:name w:val="Знак концевой сноски1"/>
    <w:basedOn w:val="33"/>
    <w:link w:val="1f1"/>
    <w:rPr>
      <w:vertAlign w:val="superscript"/>
    </w:rPr>
  </w:style>
  <w:style w:type="character" w:customStyle="1" w:styleId="1f1">
    <w:name w:val="Знак концевой сноски1"/>
    <w:basedOn w:val="34"/>
    <w:link w:val="1f0"/>
    <w:rPr>
      <w:vertAlign w:val="superscript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43">
    <w:name w:val="Гиперссылка4"/>
    <w:link w:val="ae"/>
    <w:rPr>
      <w:color w:val="0000FF"/>
      <w:u w:val="single"/>
    </w:rPr>
  </w:style>
  <w:style w:type="character" w:styleId="ae">
    <w:name w:val="Hyperlink"/>
    <w:link w:val="43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styleId="1f6">
    <w:name w:val="toc 1"/>
    <w:next w:val="a0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f1">
    <w:name w:val="Balloon Text"/>
    <w:basedOn w:val="a0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44">
    <w:name w:val="Основной шрифт абзаца4"/>
    <w:link w:val="91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7Char">
    <w:name w:val="Heading 7 Char"/>
    <w:basedOn w:val="1a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b"/>
    <w:link w:val="Heading7Char"/>
    <w:rPr>
      <w:rFonts w:ascii="Arial" w:hAnsi="Arial"/>
      <w:b/>
      <w:i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af3">
    <w:name w:val="caption"/>
    <w:basedOn w:val="a0"/>
    <w:next w:val="a0"/>
    <w:link w:val="af4"/>
    <w:pPr>
      <w:spacing w:line="276" w:lineRule="auto"/>
    </w:pPr>
    <w:rPr>
      <w:b/>
      <w:color w:val="5B9BD5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b/>
      <w:color w:val="5B9BD5" w:themeColor="accent1"/>
      <w:sz w:val="1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List Paragraph"/>
    <w:basedOn w:val="a0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9Char">
    <w:name w:val="Heading 9 Char"/>
    <w:basedOn w:val="1a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b"/>
    <w:link w:val="Heading9Char"/>
    <w:rPr>
      <w:rFonts w:ascii="Arial" w:hAnsi="Arial"/>
      <w:i/>
      <w:sz w:val="21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1fe">
    <w:name w:val="Гиперссылка1"/>
    <w:basedOn w:val="1f2"/>
    <w:link w:val="1ff"/>
    <w:rPr>
      <w:color w:val="0563C1" w:themeColor="hyperlink"/>
      <w:u w:val="single"/>
    </w:rPr>
  </w:style>
  <w:style w:type="character" w:customStyle="1" w:styleId="1ff">
    <w:name w:val="Гиперссылка1"/>
    <w:basedOn w:val="1f3"/>
    <w:link w:val="1fe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styleId="a4">
    <w:name w:val="Subtitle"/>
    <w:basedOn w:val="a0"/>
    <w:next w:val="a0"/>
    <w:link w:val="a5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Pr>
      <w:color w:val="5A5A5A" w:themeColor="text1" w:themeTint="A5"/>
      <w:spacing w:val="15"/>
    </w:rPr>
  </w:style>
  <w:style w:type="paragraph" w:styleId="39">
    <w:name w:val="Body Text 3"/>
    <w:basedOn w:val="a0"/>
    <w:link w:val="3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e">
    <w:name w:val="Intense Quote"/>
    <w:basedOn w:val="a0"/>
    <w:next w:val="a0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"/>
    <w:link w:val="afe"/>
    <w:rPr>
      <w:i/>
    </w:rPr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45">
    <w:name w:val="Plain Table 4"/>
    <w:basedOn w:val="a2"/>
    <w:pPr>
      <w:spacing w:after="0" w:line="240" w:lineRule="auto"/>
    </w:p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3b">
    <w:name w:val="Plain Table 3"/>
    <w:basedOn w:val="a2"/>
    <w:pPr>
      <w:spacing w:after="0" w:line="240" w:lineRule="auto"/>
    </w:pPr>
    <w:tblPr/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1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2748</Words>
  <Characters>15667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2025-04-01T08:40:00Z</dcterms:created>
  <dcterms:modified xsi:type="dcterms:W3CDTF">2025-04-01T08:41:00Z</dcterms:modified>
</cp:coreProperties>
</file>